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2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2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940"/>
        <w:spacing w:after="0" w:line="246" w:lineRule="auto"/>
        <w:rPr>
          <w:sz w:val="20"/>
          <w:szCs w:val="20"/>
          <w:color w:val="auto"/>
        </w:rPr>
      </w:pPr>
      <w:r>
        <w:rPr>
          <w:rFonts w:ascii="Times New Roman" w:cs="Times New Roman" w:eastAsia="Times New Roman" w:hAnsi="Times New Roman"/>
          <w:sz w:val="22"/>
          <w:szCs w:val="22"/>
          <w:b w:val="1"/>
          <w:bCs w:val="1"/>
          <w:color w:val="auto"/>
        </w:rPr>
        <w:t>NOTIFICATION OF REMOVAL FROM LISTING AND/OR REGISTRATION UNDER SECTION 12(b) OF THE SECURITIES EXCHANGE ACT OF 1934</w:t>
      </w:r>
    </w:p>
    <w:p>
      <w:pPr>
        <w:spacing w:after="0" w:line="176" w:lineRule="exact"/>
        <w:rPr>
          <w:sz w:val="24"/>
          <w:szCs w:val="24"/>
          <w:color w:val="auto"/>
        </w:rPr>
      </w:pPr>
    </w:p>
    <w:p>
      <w:pPr>
        <w:ind w:left="4104"/>
        <w:spacing w:after="0"/>
        <w:rPr>
          <w:sz w:val="20"/>
          <w:szCs w:val="20"/>
          <w:color w:val="auto"/>
        </w:rPr>
      </w:pPr>
      <w:r>
        <w:rPr>
          <w:rFonts w:ascii="Times New Roman" w:cs="Times New Roman" w:eastAsia="Times New Roman" w:hAnsi="Times New Roman"/>
          <w:sz w:val="18"/>
          <w:szCs w:val="18"/>
          <w:b w:val="1"/>
          <w:bCs w:val="1"/>
          <w:color w:val="auto"/>
        </w:rPr>
        <w:t>Commission File Number 001-38281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723"/>
        <w:spacing w:after="0"/>
        <w:rPr>
          <w:sz w:val="20"/>
          <w:szCs w:val="20"/>
          <w:color w:val="auto"/>
        </w:rPr>
      </w:pPr>
      <w:r>
        <w:rPr>
          <w:rFonts w:ascii="Times New Roman" w:cs="Times New Roman" w:eastAsia="Times New Roman" w:hAnsi="Times New Roman"/>
          <w:sz w:val="43"/>
          <w:szCs w:val="43"/>
          <w:b w:val="1"/>
          <w:bCs w:val="1"/>
          <w:color w:val="auto"/>
        </w:rPr>
        <w:t>PHAXIAM Therapeutics S.A.</w:t>
      </w:r>
    </w:p>
    <w:p>
      <w:pPr>
        <w:spacing w:after="0" w:line="58" w:lineRule="exact"/>
        <w:rPr>
          <w:sz w:val="24"/>
          <w:szCs w:val="24"/>
          <w:color w:val="auto"/>
        </w:rPr>
      </w:pPr>
    </w:p>
    <w:p>
      <w:pPr>
        <w:jc w:val="center"/>
        <w:ind w:right="-723"/>
        <w:spacing w:after="0"/>
        <w:rPr>
          <w:sz w:val="20"/>
          <w:szCs w:val="20"/>
          <w:color w:val="auto"/>
        </w:rPr>
      </w:pPr>
      <w:r>
        <w:rPr>
          <w:rFonts w:ascii="Times New Roman" w:cs="Times New Roman" w:eastAsia="Times New Roman" w:hAnsi="Times New Roman"/>
          <w:sz w:val="18"/>
          <w:szCs w:val="18"/>
          <w:b w:val="1"/>
          <w:bCs w:val="1"/>
          <w:color w:val="auto"/>
        </w:rPr>
        <w:t>The Nasdaq Capital Market</w:t>
      </w:r>
    </w:p>
    <w:p>
      <w:pPr>
        <w:spacing w:after="0" w:line="7" w:lineRule="exact"/>
        <w:rPr>
          <w:sz w:val="24"/>
          <w:szCs w:val="24"/>
          <w:color w:val="auto"/>
        </w:rPr>
      </w:pPr>
    </w:p>
    <w:p>
      <w:pPr>
        <w:jc w:val="center"/>
        <w:ind w:right="-723"/>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1544" w:type="dxa"/>
        <w:tblCellMar>
          <w:top w:w="0" w:type="dxa"/>
          <w:left w:w="0" w:type="dxa"/>
          <w:bottom w:w="0" w:type="dxa"/>
          <w:right w:w="0" w:type="dxa"/>
        </w:tblCellMar>
      </w:tblPr>
      <w:tr>
        <w:trPr>
          <w:trHeight w:val="214"/>
        </w:trPr>
        <w:tc>
          <w:tcPr>
            <w:tcW w:w="428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9"/>
              </w:rPr>
              <w:t>France</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4280" w:type="dxa"/>
            <w:vAlign w:val="bottom"/>
          </w:tcPr>
          <w:p>
            <w:pPr>
              <w:jc w:val="center"/>
              <w:ind w:right="17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60 Avenue Rockefeller</w:t>
            </w:r>
          </w:p>
        </w:tc>
        <w:tc>
          <w:tcPr>
            <w:tcW w:w="3240" w:type="dxa"/>
            <w:vAlign w:val="bottom"/>
          </w:tcPr>
          <w:p>
            <w:pPr>
              <w:spacing w:after="0"/>
              <w:rPr>
                <w:sz w:val="24"/>
                <w:szCs w:val="24"/>
                <w:color w:val="auto"/>
              </w:rPr>
            </w:pPr>
          </w:p>
        </w:tc>
      </w:tr>
      <w:tr>
        <w:trPr>
          <w:trHeight w:val="227"/>
        </w:trPr>
        <w:tc>
          <w:tcPr>
            <w:tcW w:w="428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8"/>
              </w:rPr>
              <w:t>Lyon, France</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w w:val="97"/>
              </w:rPr>
              <w:t>69008</w:t>
            </w:r>
          </w:p>
        </w:tc>
      </w:tr>
      <w:tr>
        <w:trPr>
          <w:trHeight w:val="190"/>
        </w:trPr>
        <w:tc>
          <w:tcPr>
            <w:tcW w:w="4280" w:type="dxa"/>
            <w:vAlign w:val="bottom"/>
          </w:tcPr>
          <w:p>
            <w:pPr>
              <w:jc w:val="center"/>
              <w:ind w:right="1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723"/>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one ordinary share, nominal value €1.00 per share</w:t>
      </w:r>
    </w:p>
    <w:p>
      <w:pPr>
        <w:spacing w:after="0" w:line="25"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252" w:lineRule="exact"/>
        <w:rPr>
          <w:rFonts w:ascii="MS PGothic" w:cs="MS PGothic" w:eastAsia="MS PGothic" w:hAnsi="MS PGothic"/>
          <w:sz w:val="18"/>
          <w:szCs w:val="18"/>
          <w:color w:val="auto"/>
        </w:rPr>
      </w:pPr>
    </w:p>
    <w:p>
      <w:pPr>
        <w:ind w:left="424"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189" w:lineRule="exact"/>
        <w:rPr>
          <w:sz w:val="24"/>
          <w:szCs w:val="24"/>
          <w:color w:val="auto"/>
        </w:rPr>
      </w:pPr>
    </w:p>
    <w:p>
      <w:pPr>
        <w:ind w:left="424" w:right="100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04"/>
          </w:cols>
          <w:pgMar w:left="436" w:top="376" w:right="1159" w:bottom="1440" w:gutter="0" w:footer="0" w:header="0"/>
        </w:sectPr>
      </w:pPr>
    </w:p>
    <w:bookmarkStart w:id="1" w:name="page2"/>
    <w:bookmarkEnd w:id="1"/>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requirements of the Securities Exchange Act of 1934, PHAXIAM Therapeutics S.A. certifies that it has reasonable grounds to believe that it meets all of the requirements for filing the Form 25 and has caused this notification to be signed on its behalf by the undersigned duly authorized person.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PHAXIAM Therapeutics S.A.</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2024</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Soyer</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Soyer</w:t>
            </w:r>
          </w:p>
        </w:tc>
      </w:tr>
      <w:tr>
        <w:trPr>
          <w:trHeight w:val="216"/>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 Chief Financial Officer and Chief</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2024-03-01T15:13:46Z</dcterms:created>
  <dcterms:modified xsi:type="dcterms:W3CDTF">2024-03-01T15:13:46Z</dcterms:modified>
</cp:coreProperties>
</file>